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июне 2013 года прокуратурой Серебряно-Прудского муниципального района Московской области была проведена проверка исполнения законодательства  при реализации приоритетного национального проекта «Образование» по направлению «Сельский школьный автобус», по результатам которой были выявлены нарушения действующего законодательства. МОУ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вхозной средней школы было рассмотрено представление от 28.06.2013 №7-1-2013 об устранении нарушений законодательства при реализации приоритетного национального проекта «Образование» по направлению «Сельский школьный автобус»,с участием представителя прокуратуры. По результатам рассмотрения были приняты соответствующие меры.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